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4">
      <w:pPr>
        <w:spacing w:line="360" w:lineRule="auto"/>
        <w:jc w:val="right"/>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 ……. tháng … năm 2020</w:t>
      </w:r>
    </w:p>
    <w:p w:rsidR="00000000" w:rsidDel="00000000" w:rsidP="00000000" w:rsidRDefault="00000000" w:rsidRPr="00000000" w14:paraId="00000005">
      <w:pPr>
        <w:spacing w:after="40" w:before="40" w:line="276" w:lineRule="auto"/>
        <w:jc w:val="right"/>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6">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HỢP ĐỒNG KINH TẾ</w:t>
      </w:r>
      <w:r w:rsidDel="00000000" w:rsidR="00000000" w:rsidRPr="00000000">
        <w:rPr>
          <w:rtl w:val="0"/>
        </w:rPr>
      </w:r>
    </w:p>
    <w:p w:rsidR="00000000" w:rsidDel="00000000" w:rsidP="00000000" w:rsidRDefault="00000000" w:rsidRPr="00000000" w14:paraId="00000007">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Hợp đồng số: …….</w:t>
      </w:r>
      <w:r w:rsidDel="00000000" w:rsidR="00000000" w:rsidRPr="00000000">
        <w:rPr>
          <w:rtl w:val="0"/>
        </w:rPr>
      </w:r>
    </w:p>
    <w:p w:rsidR="00000000" w:rsidDel="00000000" w:rsidP="00000000" w:rsidRDefault="00000000" w:rsidRPr="00000000" w14:paraId="00000008">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(V/v: Thi công nội thất công trình xây dựng)</w:t>
      </w:r>
    </w:p>
    <w:p w:rsidR="00000000" w:rsidDel="00000000" w:rsidP="00000000" w:rsidRDefault="00000000" w:rsidRPr="00000000" w14:paraId="00000009">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40" w:before="40" w:line="276" w:lineRule="auto"/>
        <w:ind w:left="540" w:hanging="182.0000000000000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Căn cứ Bộ Luật Dân sự 2015</w:t>
      </w:r>
      <w:r w:rsidDel="00000000" w:rsidR="00000000" w:rsidRPr="00000000">
        <w:rPr>
          <w:rtl w:val="0"/>
        </w:rPr>
      </w:r>
    </w:p>
    <w:p w:rsidR="00000000" w:rsidDel="00000000" w:rsidP="00000000" w:rsidRDefault="00000000" w:rsidRPr="00000000" w14:paraId="0000000B">
      <w:pPr>
        <w:spacing w:after="40" w:before="40" w:line="276" w:lineRule="auto"/>
        <w:ind w:left="540" w:hanging="182.0000000000000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Căn cứ Luật Thương mại 2005;</w:t>
      </w:r>
      <w:r w:rsidDel="00000000" w:rsidR="00000000" w:rsidRPr="00000000">
        <w:rPr>
          <w:rtl w:val="0"/>
        </w:rPr>
      </w:r>
    </w:p>
    <w:p w:rsidR="00000000" w:rsidDel="00000000" w:rsidP="00000000" w:rsidRDefault="00000000" w:rsidRPr="00000000" w14:paraId="0000000C">
      <w:pPr>
        <w:spacing w:after="40" w:before="40" w:line="276" w:lineRule="auto"/>
        <w:ind w:left="540" w:hanging="182.0000000000000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Căn cứ vào nhu cầu của hai bên, Hợp đồng kinh tế được ký kết giữa Bên A và Bên B:</w:t>
      </w:r>
      <w:r w:rsidDel="00000000" w:rsidR="00000000" w:rsidRPr="00000000">
        <w:rPr>
          <w:rtl w:val="0"/>
        </w:rPr>
      </w:r>
    </w:p>
    <w:p w:rsidR="00000000" w:rsidDel="00000000" w:rsidP="00000000" w:rsidRDefault="00000000" w:rsidRPr="00000000" w14:paraId="0000000D">
      <w:pPr>
        <w:spacing w:after="48" w:before="120"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A</w:t>
      </w:r>
      <w:r w:rsidDel="00000000" w:rsidR="00000000" w:rsidRPr="00000000">
        <w:rPr>
          <w:rtl w:val="0"/>
        </w:rPr>
      </w:r>
    </w:p>
    <w:p w:rsidR="00000000" w:rsidDel="00000000" w:rsidP="00000000" w:rsidRDefault="00000000" w:rsidRPr="00000000" w14:paraId="0000000E">
      <w:pPr>
        <w:tabs>
          <w:tab w:val="left" w:leader="none" w:pos="2262"/>
        </w:tabs>
        <w:spacing w:after="48" w:before="48" w:line="36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doanh nghiệp: </w:t>
      </w:r>
      <w:r w:rsidDel="00000000" w:rsidR="00000000" w:rsidRPr="00000000">
        <w:rPr>
          <w:rtl w:val="0"/>
        </w:rPr>
      </w:r>
    </w:p>
    <w:p w:rsidR="00000000" w:rsidDel="00000000" w:rsidP="00000000" w:rsidRDefault="00000000" w:rsidRPr="00000000" w14:paraId="0000000F">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w:t>
      </w:r>
    </w:p>
    <w:p w:rsidR="00000000" w:rsidDel="00000000" w:rsidP="00000000" w:rsidRDefault="00000000" w:rsidRPr="00000000" w14:paraId="00000010">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w:t>
        <w:tab/>
        <w:tab/>
      </w:r>
    </w:p>
    <w:p w:rsidR="00000000" w:rsidDel="00000000" w:rsidP="00000000" w:rsidRDefault="00000000" w:rsidRPr="00000000" w14:paraId="00000011">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Đại diện: </w:t>
      </w:r>
    </w:p>
    <w:p w:rsidR="00000000" w:rsidDel="00000000" w:rsidP="00000000" w:rsidRDefault="00000000" w:rsidRPr="00000000" w14:paraId="00000012">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Chức vụ: </w:t>
      </w:r>
    </w:p>
    <w:p w:rsidR="00000000" w:rsidDel="00000000" w:rsidP="00000000" w:rsidRDefault="00000000" w:rsidRPr="00000000" w14:paraId="00000013">
      <w:pPr>
        <w:tabs>
          <w:tab w:val="left" w:leader="none" w:pos="2262"/>
        </w:tabs>
        <w:spacing w:after="48" w:before="48" w:line="360"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thuế: </w:t>
      </w:r>
      <w:r w:rsidDel="00000000" w:rsidR="00000000" w:rsidRPr="00000000">
        <w:rPr>
          <w:rtl w:val="0"/>
        </w:rPr>
      </w:r>
    </w:p>
    <w:p w:rsidR="00000000" w:rsidDel="00000000" w:rsidP="00000000" w:rsidRDefault="00000000" w:rsidRPr="00000000" w14:paraId="00000014">
      <w:pPr>
        <w:tabs>
          <w:tab w:val="left" w:leader="none" w:pos="2262"/>
        </w:tabs>
        <w:spacing w:after="48" w:before="48" w:line="360" w:lineRule="auto"/>
        <w:jc w:val="both"/>
        <w:rPr>
          <w:rFonts w:ascii="Times New Roman" w:cs="Times New Roman" w:eastAsia="Times New Roman" w:hAnsi="Times New Roman"/>
          <w:color w:val="222222"/>
          <w:sz w:val="26"/>
          <w:szCs w:val="26"/>
          <w:highlight w:val="whit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B </w:t>
      </w:r>
      <w:r w:rsidDel="00000000" w:rsidR="00000000" w:rsidRPr="00000000">
        <w:rPr>
          <w:rtl w:val="0"/>
        </w:rPr>
      </w:r>
    </w:p>
    <w:p w:rsidR="00000000" w:rsidDel="00000000" w:rsidP="00000000" w:rsidRDefault="00000000" w:rsidRPr="00000000" w14:paraId="00000015">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doanh nghiệp:  </w:t>
        <w:tab/>
      </w:r>
    </w:p>
    <w:p w:rsidR="00000000" w:rsidDel="00000000" w:rsidP="00000000" w:rsidRDefault="00000000" w:rsidRPr="00000000" w14:paraId="00000016">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w:t>
      </w:r>
    </w:p>
    <w:p w:rsidR="00000000" w:rsidDel="00000000" w:rsidP="00000000" w:rsidRDefault="00000000" w:rsidRPr="00000000" w14:paraId="00000017">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 </w:t>
        <w:tab/>
        <w:tab/>
      </w:r>
    </w:p>
    <w:p w:rsidR="00000000" w:rsidDel="00000000" w:rsidP="00000000" w:rsidRDefault="00000000" w:rsidRPr="00000000" w14:paraId="00000018">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Đại diện:  </w:t>
        <w:tab/>
      </w:r>
    </w:p>
    <w:p w:rsidR="00000000" w:rsidDel="00000000" w:rsidP="00000000" w:rsidRDefault="00000000" w:rsidRPr="00000000" w14:paraId="00000019">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thuế:  </w:t>
      </w:r>
    </w:p>
    <w:p w:rsidR="00000000" w:rsidDel="00000000" w:rsidP="00000000" w:rsidRDefault="00000000" w:rsidRPr="00000000" w14:paraId="0000001A">
      <w:pPr>
        <w:tabs>
          <w:tab w:val="left" w:leader="none" w:pos="2262"/>
        </w:tabs>
        <w:spacing w:after="48" w:before="48" w:line="3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Tài khoản ngân hàng: </w:t>
      </w:r>
    </w:p>
    <w:p w:rsidR="00000000" w:rsidDel="00000000" w:rsidP="00000000" w:rsidRDefault="00000000" w:rsidRPr="00000000" w14:paraId="0000001B">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C">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 Nội dung hợp đồng:</w:t>
      </w:r>
      <w:r w:rsidDel="00000000" w:rsidR="00000000" w:rsidRPr="00000000">
        <w:rPr>
          <w:rtl w:val="0"/>
        </w:rPr>
      </w:r>
    </w:p>
    <w:p w:rsidR="00000000" w:rsidDel="00000000" w:rsidP="00000000" w:rsidRDefault="00000000" w:rsidRPr="00000000" w14:paraId="0000001D">
      <w:pPr>
        <w:widowControl w:val="1"/>
        <w:numPr>
          <w:ilvl w:val="0"/>
          <w:numId w:val="1"/>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đồng ý thuê Bên B thực hiện việc thi công nội thất công trình xây dựng (Sau đây gọi là “Công trình”) cho Bên A. Nội dung cụ thể sẽ được quy định cụ thể trong Báo giá mà hai bên đã kí kết.</w:t>
      </w:r>
    </w:p>
    <w:p w:rsidR="00000000" w:rsidDel="00000000" w:rsidP="00000000" w:rsidRDefault="00000000" w:rsidRPr="00000000" w14:paraId="0000001E">
      <w:pPr>
        <w:widowControl w:val="1"/>
        <w:numPr>
          <w:ilvl w:val="0"/>
          <w:numId w:val="1"/>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Tiến độ Công trình: </w:t>
      </w:r>
    </w:p>
    <w:p w:rsidR="00000000" w:rsidDel="00000000" w:rsidP="00000000" w:rsidRDefault="00000000" w:rsidRPr="00000000" w14:paraId="0000001F">
      <w:pPr>
        <w:spacing w:after="40" w:before="40" w:line="276"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Tiến độ công trình được cụ thể trong Báo giá đã kí kết</w:t>
      </w:r>
    </w:p>
    <w:p w:rsidR="00000000" w:rsidDel="00000000" w:rsidP="00000000" w:rsidRDefault="00000000" w:rsidRPr="00000000" w14:paraId="00000020">
      <w:pPr>
        <w:widowControl w:val="1"/>
        <w:numPr>
          <w:ilvl w:val="0"/>
          <w:numId w:val="1"/>
        </w:numPr>
        <w:spacing w:after="40" w:before="40" w:line="276" w:lineRule="auto"/>
        <w:ind w:left="709"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trường hợp đang thực hiện Hợp đồng, phát sinh công việc ngoài Hợp đồng và Báo giá, 02 bên sẽ ký kết các Báo giá phát sinh. </w:t>
      </w:r>
    </w:p>
    <w:p w:rsidR="00000000" w:rsidDel="00000000" w:rsidP="00000000" w:rsidRDefault="00000000" w:rsidRPr="00000000" w14:paraId="00000021">
      <w:pPr>
        <w:widowControl w:val="1"/>
        <w:numPr>
          <w:ilvl w:val="0"/>
          <w:numId w:val="1"/>
        </w:numPr>
        <w:spacing w:after="40" w:before="40" w:line="276" w:lineRule="auto"/>
        <w:ind w:left="709" w:hanging="349"/>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Tất cả các Báo giá đi kèm Hợp đồng này sẽ được hiểu là Báo giá được ký kết bởi hai bên và có đề cập rõ trên từng Báo giá là được đính kèm Hợp đồng này. Các Báo giá sẽ tuân theo các điều khoản trong Hợp đồng này. </w:t>
      </w:r>
    </w:p>
    <w:p w:rsidR="00000000" w:rsidDel="00000000" w:rsidP="00000000" w:rsidRDefault="00000000" w:rsidRPr="00000000" w14:paraId="00000022">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3">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2: Chất lượng công trình</w:t>
      </w:r>
      <w:r w:rsidDel="00000000" w:rsidR="00000000" w:rsidRPr="00000000">
        <w:rPr>
          <w:rtl w:val="0"/>
        </w:rPr>
      </w:r>
    </w:p>
    <w:p w:rsidR="00000000" w:rsidDel="00000000" w:rsidP="00000000" w:rsidRDefault="00000000" w:rsidRPr="00000000" w14:paraId="00000024">
      <w:pPr>
        <w:widowControl w:val="1"/>
        <w:numPr>
          <w:ilvl w:val="0"/>
          <w:numId w:val="8"/>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B đảm bảo thi công theo nội dung Báo giá và chịu toàn bộ trách nhiệm về chất lượng nội thất toàn bộ công trình.</w:t>
      </w:r>
    </w:p>
    <w:p w:rsidR="00000000" w:rsidDel="00000000" w:rsidP="00000000" w:rsidRDefault="00000000" w:rsidRPr="00000000" w14:paraId="00000025">
      <w:pPr>
        <w:widowControl w:val="1"/>
        <w:numPr>
          <w:ilvl w:val="0"/>
          <w:numId w:val="8"/>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sẽ cử người giám sát tại công trình để theo dõi chất lượng vật liệu, cấu kiện và chất lượng thi công, nếu thấy phần nào chưa được bảo đảm thì yêu cầu Bên B làm lại. Bên A có trách nhiệm xác nhận công tác phát sinh để làm cơ sở cho việc nghiệm thu và thanh toán. Nếu Bên A xét thấy công tác thi công không đạt yêu cầu thì có quyền không ký vào biên bản nghiệm thu hoặc chưa nhận bàn giao.</w:t>
      </w:r>
    </w:p>
    <w:p w:rsidR="00000000" w:rsidDel="00000000" w:rsidP="00000000" w:rsidRDefault="00000000" w:rsidRPr="00000000" w14:paraId="00000026">
      <w:pPr>
        <w:widowControl w:val="1"/>
        <w:numPr>
          <w:ilvl w:val="0"/>
          <w:numId w:val="8"/>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Khi Bên B muốn thay đổi loại vật liệu nội thất nào hoặc thay đổi phần thiết kế nào đều phải được sự chấp thuận của Bên A trước đó.</w:t>
      </w:r>
    </w:p>
    <w:p w:rsidR="00000000" w:rsidDel="00000000" w:rsidP="00000000" w:rsidRDefault="00000000" w:rsidRPr="00000000" w14:paraId="00000027">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8">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3: Trách nhiệm các bên:</w:t>
      </w:r>
      <w:r w:rsidDel="00000000" w:rsidR="00000000" w:rsidRPr="00000000">
        <w:rPr>
          <w:rtl w:val="0"/>
        </w:rPr>
      </w:r>
    </w:p>
    <w:p w:rsidR="00000000" w:rsidDel="00000000" w:rsidP="00000000" w:rsidRDefault="00000000" w:rsidRPr="00000000" w14:paraId="00000029">
      <w:pPr>
        <w:widowControl w:val="1"/>
        <w:numPr>
          <w:ilvl w:val="0"/>
          <w:numId w:val="9"/>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Trách nhiệm của Bên A:</w:t>
      </w:r>
    </w:p>
    <w:p w:rsidR="00000000" w:rsidDel="00000000" w:rsidP="00000000" w:rsidRDefault="00000000" w:rsidRPr="00000000" w14:paraId="0000002A">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Cung cấp mặt bằng thi công cho Bên B.</w:t>
      </w:r>
    </w:p>
    <w:p w:rsidR="00000000" w:rsidDel="00000000" w:rsidP="00000000" w:rsidRDefault="00000000" w:rsidRPr="00000000" w14:paraId="0000002B">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có trách nhiệm nhận bàn giao thiết bị, kiểm tra chất lượng, số lượng và tiến hành nghiệm thu công trình sau khi Bên B hoàn thành việc lắp đặt và thi công.</w:t>
      </w:r>
    </w:p>
    <w:p w:rsidR="00000000" w:rsidDel="00000000" w:rsidP="00000000" w:rsidRDefault="00000000" w:rsidRPr="00000000" w14:paraId="0000002C">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Tuân thủ nghĩa vụ thanh toán theo Điều 6 của Hợp đồng này.</w:t>
      </w:r>
    </w:p>
    <w:p w:rsidR="00000000" w:rsidDel="00000000" w:rsidP="00000000" w:rsidRDefault="00000000" w:rsidRPr="00000000" w14:paraId="0000002D">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Bên A không hoàn thành thanh toán đúng thời hạn quy định tại Điều 6 của hợp đồng cho Bên B thì bị phạt … % một ngày trên tổng giá trị hợp đồng, và tổng giá trị nộp phạt không quá …% trên tổng giá trị hợp đồng.</w:t>
      </w:r>
    </w:p>
    <w:p w:rsidR="00000000" w:rsidDel="00000000" w:rsidP="00000000" w:rsidRDefault="00000000" w:rsidRPr="00000000" w14:paraId="0000002E">
      <w:pPr>
        <w:widowControl w:val="1"/>
        <w:numPr>
          <w:ilvl w:val="0"/>
          <w:numId w:val="9"/>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Trách nhiệm của Bên B</w:t>
      </w:r>
    </w:p>
    <w:p w:rsidR="00000000" w:rsidDel="00000000" w:rsidP="00000000" w:rsidRDefault="00000000" w:rsidRPr="00000000" w14:paraId="0000002F">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Quản lý mặt bằng thi công trong suốt quá trình thi công. </w:t>
      </w:r>
    </w:p>
    <w:p w:rsidR="00000000" w:rsidDel="00000000" w:rsidP="00000000" w:rsidRDefault="00000000" w:rsidRPr="00000000" w14:paraId="00000030">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Tuân thủ đúng lịch trình làm việc, thời hạn nghiệm thu bàn giao, các điều khoản bảo hành đã cam kết.</w:t>
      </w:r>
    </w:p>
    <w:p w:rsidR="00000000" w:rsidDel="00000000" w:rsidP="00000000" w:rsidRDefault="00000000" w:rsidRPr="00000000" w14:paraId="00000031">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Kiểm tra giám sát, bảo đảm an ninh trật tự, an toàn lao động khi thi công công trình và quản lý tiến độ thi công. </w:t>
      </w:r>
    </w:p>
    <w:p w:rsidR="00000000" w:rsidDel="00000000" w:rsidP="00000000" w:rsidRDefault="00000000" w:rsidRPr="00000000" w14:paraId="00000032">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Tuân thủ các điều kiện về thi công của chủ đầu tư. </w:t>
      </w:r>
    </w:p>
    <w:p w:rsidR="00000000" w:rsidDel="00000000" w:rsidP="00000000" w:rsidRDefault="00000000" w:rsidRPr="00000000" w14:paraId="00000033">
      <w:pPr>
        <w:widowControl w:val="1"/>
        <w:numPr>
          <w:ilvl w:val="0"/>
          <w:numId w:val="6"/>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Cung cấp đúng chủng loại, mẫu mã, vật tư, trang thiết bị đã cam kết trong các Báo giá mà hai bên ký kết đính kèm Hợp đồng kinh tế này</w:t>
      </w:r>
      <w:r w:rsidDel="00000000" w:rsidR="00000000" w:rsidRPr="00000000">
        <w:rPr>
          <w:rFonts w:ascii="Times New Roman" w:cs="Times New Roman" w:eastAsia="Times New Roman" w:hAnsi="Times New Roman"/>
          <w:b w:val="1"/>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34">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35">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4: Giá trị hợp đồng</w:t>
      </w:r>
      <w:r w:rsidDel="00000000" w:rsidR="00000000" w:rsidRPr="00000000">
        <w:rPr>
          <w:rtl w:val="0"/>
        </w:rPr>
      </w:r>
    </w:p>
    <w:p w:rsidR="00000000" w:rsidDel="00000000" w:rsidP="00000000" w:rsidRDefault="00000000" w:rsidRPr="00000000" w14:paraId="00000036">
      <w:pPr>
        <w:widowControl w:val="1"/>
        <w:numPr>
          <w:ilvl w:val="0"/>
          <w:numId w:val="4"/>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trị hợp đồng sẽ là tổng cộng giá trị Báo giá nêu tại mục 1, điều 1 của Hợp đồng này và các Báo giá mà hai bên ký kết được đính kèm Hợp đồng kinh tế này. </w:t>
      </w:r>
    </w:p>
    <w:p w:rsidR="00000000" w:rsidDel="00000000" w:rsidP="00000000" w:rsidRDefault="00000000" w:rsidRPr="00000000" w14:paraId="00000037">
      <w:pPr>
        <w:widowControl w:val="1"/>
        <w:numPr>
          <w:ilvl w:val="0"/>
          <w:numId w:val="4"/>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quá trình thực hiện hợp đồng, đơn giá các hạng mục theo các Báo giá đã được ký kết sẽ không thay đổi trừ trường hợp có phát sinh tăng giá do quy định mới của Nhà nước ban hành. Ngoài ra, nếu các bên xác định các đặc điểm kỹ thuật cần thay đổi, khi đó phần trị giá hợp đồng sẽ được điều chỉnh theo. </w:t>
      </w:r>
    </w:p>
    <w:p w:rsidR="00000000" w:rsidDel="00000000" w:rsidP="00000000" w:rsidRDefault="00000000" w:rsidRPr="00000000" w14:paraId="00000038">
      <w:pPr>
        <w:widowControl w:val="1"/>
        <w:numPr>
          <w:ilvl w:val="0"/>
          <w:numId w:val="4"/>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Tất cả mọi thay đổi phát sinh theo yêu cầu của Bên A đều được tính toán dựa trên đơn giá trong các Báo giá đã ký kết. Nếu phát sinh hạng mục mới theo yêu cầu của Bên A mà chưa có trong các Báo giá đã ký kết, hai bên sẽ cùng ký báo giá và biên bản nghiệm thu của các hạng mục phát sinh đó. Nếu phát sinh hạng mục mới không phải do yêu cầu của Bên A mà là do lỗi của Bên B trong quá trình làm Phụ lục Hợp đồng, Bên B sẽ phải chịu trách nhiệm cho phát sinh này và thanh toán toàn bộ chi phí liên quan đến  phát sinh này.</w:t>
      </w:r>
    </w:p>
    <w:p w:rsidR="00000000" w:rsidDel="00000000" w:rsidP="00000000" w:rsidRDefault="00000000" w:rsidRPr="00000000" w14:paraId="00000039">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3A">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5: Nghiệm thu và bàn giao công trình</w:t>
      </w:r>
      <w:r w:rsidDel="00000000" w:rsidR="00000000" w:rsidRPr="00000000">
        <w:rPr>
          <w:rtl w:val="0"/>
        </w:rPr>
      </w:r>
    </w:p>
    <w:p w:rsidR="00000000" w:rsidDel="00000000" w:rsidP="00000000" w:rsidRDefault="00000000" w:rsidRPr="00000000" w14:paraId="0000003B">
      <w:pPr>
        <w:widowControl w:val="1"/>
        <w:numPr>
          <w:ilvl w:val="0"/>
          <w:numId w:val="3"/>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có trách nhiệm nghiệm thu từng hạng mục công trình hoặc là toàn bộ công trình.  </w:t>
      </w:r>
    </w:p>
    <w:p w:rsidR="00000000" w:rsidDel="00000000" w:rsidP="00000000" w:rsidRDefault="00000000" w:rsidRPr="00000000" w14:paraId="0000003C">
      <w:pPr>
        <w:widowControl w:val="1"/>
        <w:numPr>
          <w:ilvl w:val="0"/>
          <w:numId w:val="3"/>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B có trách nhiệm chuẩn bị các điều kiện và tài liệu cần thiết để nghiệm thu.</w:t>
      </w:r>
    </w:p>
    <w:p w:rsidR="00000000" w:rsidDel="00000000" w:rsidP="00000000" w:rsidRDefault="00000000" w:rsidRPr="00000000" w14:paraId="0000003D">
      <w:pPr>
        <w:spacing w:after="40" w:before="40" w:line="276"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Sau khi thực hiện xong việc nghiệm thu Bên B có trách nhiệm bàn giao công trình cho Bên A. Bên A có trách nhiệm lưu trữ hồ sơ đầy đủ theo các quy định của Nhà nước.</w:t>
      </w:r>
    </w:p>
    <w:p w:rsidR="00000000" w:rsidDel="00000000" w:rsidP="00000000" w:rsidRDefault="00000000" w:rsidRPr="00000000" w14:paraId="0000003E">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3F">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6: Điều khoản thanh toán</w:t>
      </w:r>
      <w:r w:rsidDel="00000000" w:rsidR="00000000" w:rsidRPr="00000000">
        <w:rPr>
          <w:rtl w:val="0"/>
        </w:rPr>
      </w:r>
    </w:p>
    <w:p w:rsidR="00000000" w:rsidDel="00000000" w:rsidP="00000000" w:rsidRDefault="00000000" w:rsidRPr="00000000" w14:paraId="00000040">
      <w:pPr>
        <w:widowControl w:val="1"/>
        <w:numPr>
          <w:ilvl w:val="0"/>
          <w:numId w:val="2"/>
        </w:numPr>
        <w:spacing w:after="40" w:before="40" w:line="312"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Lần 01: </w:t>
      </w:r>
    </w:p>
    <w:p w:rsidR="00000000" w:rsidDel="00000000" w:rsidP="00000000" w:rsidRDefault="00000000" w:rsidRPr="00000000" w14:paraId="00000041">
      <w:pPr>
        <w:spacing w:after="40" w:before="40" w:line="312"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sẽ thanh toán cho bên B 50% giá trị hợp đồng trong vòng 5 ngày làm việc sau khi ký Báo giá và nhận được yêu cầu thanh toán từ bên B.</w:t>
      </w:r>
    </w:p>
    <w:p w:rsidR="00000000" w:rsidDel="00000000" w:rsidP="00000000" w:rsidRDefault="00000000" w:rsidRPr="00000000" w14:paraId="00000042">
      <w:pPr>
        <w:widowControl w:val="1"/>
        <w:numPr>
          <w:ilvl w:val="0"/>
          <w:numId w:val="2"/>
        </w:numPr>
        <w:spacing w:after="40" w:before="40" w:line="312"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Lần 02: </w:t>
      </w:r>
    </w:p>
    <w:p w:rsidR="00000000" w:rsidDel="00000000" w:rsidP="00000000" w:rsidRDefault="00000000" w:rsidRPr="00000000" w14:paraId="00000043">
      <w:pPr>
        <w:spacing w:after="40" w:before="40" w:line="312"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Sau khi Bên B hoàn thiện 60% các hạng mục công trình, Bên B sẽ gửi yêu cầu thanh toán lần 2 cho Bên A. Bên A thanh toán cho bên B 40% giá trị hợp đồng trong vòng 5 ngày làm việc sau khi nhận được yêu cầu thanh toán từ Bên B. </w:t>
      </w:r>
    </w:p>
    <w:p w:rsidR="00000000" w:rsidDel="00000000" w:rsidP="00000000" w:rsidRDefault="00000000" w:rsidRPr="00000000" w14:paraId="00000044">
      <w:pPr>
        <w:widowControl w:val="1"/>
        <w:numPr>
          <w:ilvl w:val="0"/>
          <w:numId w:val="2"/>
        </w:numPr>
        <w:spacing w:after="40" w:before="40" w:line="312"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Lần 03: </w:t>
      </w:r>
    </w:p>
    <w:p w:rsidR="00000000" w:rsidDel="00000000" w:rsidP="00000000" w:rsidRDefault="00000000" w:rsidRPr="00000000" w14:paraId="00000045">
      <w:pPr>
        <w:spacing w:after="40" w:before="40" w:line="312"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Sau khi bàn giao, xác nhận việc hoàn thiện các hạng mục công trình, lập danh sách lỗi, Bên B sẽ gửi yêu cầu thanh toán cùng hóa đơn tài chính (VAT 10%) cho Bên A. </w:t>
      </w:r>
    </w:p>
    <w:p w:rsidR="00000000" w:rsidDel="00000000" w:rsidP="00000000" w:rsidRDefault="00000000" w:rsidRPr="00000000" w14:paraId="00000046">
      <w:pPr>
        <w:spacing w:after="40" w:before="40" w:line="312"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thanh toán cho Bên B 10% giá trị hợp đồng trong vòng 5 ngày làm việc sau khi nhận được yêu cầu thanh toán từ Bên B.</w:t>
      </w:r>
    </w:p>
    <w:p w:rsidR="00000000" w:rsidDel="00000000" w:rsidP="00000000" w:rsidRDefault="00000000" w:rsidRPr="00000000" w14:paraId="00000047">
      <w:pPr>
        <w:spacing w:after="40" w:before="40" w:line="312"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Phí ngân hàng chuyển khoản sẽ do Bên A chịu.</w:t>
      </w:r>
    </w:p>
    <w:p w:rsidR="00000000" w:rsidDel="00000000" w:rsidP="00000000" w:rsidRDefault="00000000" w:rsidRPr="00000000" w14:paraId="00000048">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9">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7: Quy trình về việc phạt chậm tiến độ, chất lượng công trình</w:t>
      </w:r>
      <w:r w:rsidDel="00000000" w:rsidR="00000000" w:rsidRPr="00000000">
        <w:rPr>
          <w:rtl w:val="0"/>
        </w:rPr>
      </w:r>
    </w:p>
    <w:p w:rsidR="00000000" w:rsidDel="00000000" w:rsidP="00000000" w:rsidRDefault="00000000" w:rsidRPr="00000000" w14:paraId="0000004A">
      <w:pPr>
        <w:widowControl w:val="1"/>
        <w:numPr>
          <w:ilvl w:val="0"/>
          <w:numId w:val="10"/>
        </w:numPr>
        <w:pBdr>
          <w:top w:space="0" w:sz="0" w:val="nil"/>
          <w:left w:space="0" w:sz="0" w:val="nil"/>
          <w:bottom w:space="0" w:sz="0" w:val="nil"/>
          <w:right w:space="0" w:sz="0" w:val="nil"/>
          <w:between w:space="0" w:sz="0" w:val="nil"/>
        </w:pBd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Bên B không hoàn thành công trình đúng thời hạn quy định tại Khoản 2 Điều 1 của Hợp đồng này do nguyên nhân chủ quan thì bị phạt …% một ngày trên tổng giá trị hợp đồng, và tổng giá trị nộp phạt chỉ giới hạn đến ….% trên tổng giá trị hợp đồng.</w:t>
      </w:r>
    </w:p>
    <w:p w:rsidR="00000000" w:rsidDel="00000000" w:rsidP="00000000" w:rsidRDefault="00000000" w:rsidRPr="00000000" w14:paraId="0000004B">
      <w:pPr>
        <w:widowControl w:val="1"/>
        <w:numPr>
          <w:ilvl w:val="0"/>
          <w:numId w:val="10"/>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Bên B không bảo đảm chất lượng và gây thiệt hại cho Bên A, thì phải chịu bồi thường thiệt hại cho Bên A.</w:t>
      </w:r>
    </w:p>
    <w:p w:rsidR="00000000" w:rsidDel="00000000" w:rsidP="00000000" w:rsidRDefault="00000000" w:rsidRPr="00000000" w14:paraId="0000004C">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D">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8: Bảo hành sửa lỗi</w:t>
      </w:r>
      <w:r w:rsidDel="00000000" w:rsidR="00000000" w:rsidRPr="00000000">
        <w:rPr>
          <w:rtl w:val="0"/>
        </w:rPr>
      </w:r>
    </w:p>
    <w:p w:rsidR="00000000" w:rsidDel="00000000" w:rsidP="00000000" w:rsidRDefault="00000000" w:rsidRPr="00000000" w14:paraId="0000004E">
      <w:pPr>
        <w:widowControl w:val="1"/>
        <w:numPr>
          <w:ilvl w:val="0"/>
          <w:numId w:val="5"/>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B có trách nhiệm bảo hành sửa lỗi công trình trong vòng 12 tháng (tính từ ngày công trình được bàn giao và đưa vào sử dụng). Riêng đối với hạng mục Thiết bị gia dụng và thiết bị điện tử, điều khoản bảo hành sẽ tùy thuộc vào điều khoản bảo hành của nhà sản xuất.</w:t>
      </w:r>
    </w:p>
    <w:p w:rsidR="00000000" w:rsidDel="00000000" w:rsidP="00000000" w:rsidRDefault="00000000" w:rsidRPr="00000000" w14:paraId="0000004F">
      <w:pPr>
        <w:widowControl w:val="1"/>
        <w:numPr>
          <w:ilvl w:val="0"/>
          <w:numId w:val="5"/>
        </w:numPr>
        <w:spacing w:after="40" w:before="40" w:line="276" w:lineRule="auto"/>
        <w:ind w:left="720" w:hanging="36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có lỗi phát sinh yêu cầu sửa chữa, Bên B sẽ nhanh chóng kiểm tra và xem xét phương án xử lý. Bên B chịu trách nhiệm bảo hành và sửa chữa toàn bộ những phần hư hại do lỗi của Bên B gây ra theo các quy định của Bên A.</w:t>
      </w:r>
    </w:p>
    <w:p w:rsidR="00000000" w:rsidDel="00000000" w:rsidP="00000000" w:rsidRDefault="00000000" w:rsidRPr="00000000" w14:paraId="00000050">
      <w:pPr>
        <w:widowControl w:val="1"/>
        <w:numPr>
          <w:ilvl w:val="0"/>
          <w:numId w:val="5"/>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thời gian bảo hành, tất cả các thiết bị bị hỏng do lỗi của Nhà sản xuất, Bên B sẽ thay mặt Bên A yêu cầu Nhà sản xuất sửa chữa hoặc thay mới sản phẩm tương đương, Bên A không phải chịu bất cứ khoản chi phí nào từ việc sửa chữa và thay mới này. Bên B sẽ không bảo hành trong các trường hợp sau:</w:t>
      </w:r>
    </w:p>
    <w:p w:rsidR="00000000" w:rsidDel="00000000" w:rsidP="00000000" w:rsidRDefault="00000000" w:rsidRPr="00000000" w14:paraId="00000051">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Thiết bị mất nhãn hiệu.</w:t>
      </w:r>
    </w:p>
    <w:p w:rsidR="00000000" w:rsidDel="00000000" w:rsidP="00000000" w:rsidRDefault="00000000" w:rsidRPr="00000000" w14:paraId="00000052">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Quá hạn bảo hành.</w:t>
      </w:r>
    </w:p>
    <w:p w:rsidR="00000000" w:rsidDel="00000000" w:rsidP="00000000" w:rsidRDefault="00000000" w:rsidRPr="00000000" w14:paraId="00000053">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Mất phiếu bảo hành.</w:t>
      </w:r>
    </w:p>
    <w:p w:rsidR="00000000" w:rsidDel="00000000" w:rsidP="00000000" w:rsidRDefault="00000000" w:rsidRPr="00000000" w14:paraId="00000054">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Bị thay phụ tùng bởi nhà cung cấp khác. </w:t>
      </w:r>
    </w:p>
    <w:p w:rsidR="00000000" w:rsidDel="00000000" w:rsidP="00000000" w:rsidRDefault="00000000" w:rsidRPr="00000000" w14:paraId="00000055">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Các trường hợp bất khả kháng như thiên tai, hỏa hoạn, động đất.</w:t>
      </w:r>
    </w:p>
    <w:p w:rsidR="00000000" w:rsidDel="00000000" w:rsidP="00000000" w:rsidRDefault="00000000" w:rsidRPr="00000000" w14:paraId="00000056">
      <w:pPr>
        <w:widowControl w:val="1"/>
        <w:numPr>
          <w:ilvl w:val="0"/>
          <w:numId w:val="7"/>
        </w:numPr>
        <w:spacing w:after="40" w:before="40" w:line="276" w:lineRule="auto"/>
        <w:ind w:left="144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Lỗi do Bên A gây ra.</w:t>
      </w:r>
    </w:p>
    <w:p w:rsidR="00000000" w:rsidDel="00000000" w:rsidP="00000000" w:rsidRDefault="00000000" w:rsidRPr="00000000" w14:paraId="00000057">
      <w:pPr>
        <w:widowControl w:val="1"/>
        <w:numPr>
          <w:ilvl w:val="0"/>
          <w:numId w:val="5"/>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Ngoài thời gian bảo hành nêu trên, nếu Bên A gặp sự cố trong quá trình sử dụng, Bên B sẽ hỗ trợ sửa chữa, bảo hành. Chi phí phát sinh do việc bảo hành sẽ được 02 bên thỏa thuận cho từng trường hợp cụ thể.</w:t>
      </w:r>
    </w:p>
    <w:p w:rsidR="00000000" w:rsidDel="00000000" w:rsidP="00000000" w:rsidRDefault="00000000" w:rsidRPr="00000000" w14:paraId="00000058">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9">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9: Thủ tục giải quyết tranh chấp</w:t>
      </w:r>
      <w:r w:rsidDel="00000000" w:rsidR="00000000" w:rsidRPr="00000000">
        <w:rPr>
          <w:rtl w:val="0"/>
        </w:rPr>
      </w:r>
    </w:p>
    <w:p w:rsidR="00000000" w:rsidDel="00000000" w:rsidP="00000000" w:rsidRDefault="00000000" w:rsidRPr="00000000" w14:paraId="0000005A">
      <w:pPr>
        <w:widowControl w:val="1"/>
        <w:numPr>
          <w:ilvl w:val="0"/>
          <w:numId w:val="11"/>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Hai bên cam kết thực hiện đúng các điều khoản ghi trong hợp đồng này.</w:t>
      </w:r>
    </w:p>
    <w:p w:rsidR="00000000" w:rsidDel="00000000" w:rsidP="00000000" w:rsidRDefault="00000000" w:rsidRPr="00000000" w14:paraId="0000005B">
      <w:pPr>
        <w:widowControl w:val="1"/>
        <w:numPr>
          <w:ilvl w:val="0"/>
          <w:numId w:val="11"/>
        </w:numPr>
        <w:spacing w:after="40" w:before="40" w:line="276" w:lineRule="auto"/>
        <w:ind w:left="72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Hai bên chủ động thông báo cho nhau biết tiến độ thực hiện các điều khoản hợp đồng. Nếu có vấn đề bất lợi gì phát sinh các bên phải kịp thời báo cho nhau biết tình trạng và tiến độ. Các bên sẽ vận dụng mọi nỗ lực của mình để giải quyết mọi tranh chấp trên tinh thần hữu nghị thông qua đàm phán.</w:t>
      </w:r>
    </w:p>
    <w:p w:rsidR="00000000" w:rsidDel="00000000" w:rsidP="00000000" w:rsidRDefault="00000000" w:rsidRPr="00000000" w14:paraId="0000005C">
      <w:pPr>
        <w:spacing w:after="40" w:before="40" w:line="276"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tranh chấp vẫn không thể giải quyết được bằng thương lượng thì một trong các bên có thể đưa vụ việc đến tòa án theo quy định của luật pháp Việt Nam giải quyết.</w:t>
      </w:r>
    </w:p>
    <w:p w:rsidR="00000000" w:rsidDel="00000000" w:rsidP="00000000" w:rsidRDefault="00000000" w:rsidRPr="00000000" w14:paraId="0000005D">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E">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10: Hiệu lực của hợp đồng</w:t>
      </w:r>
      <w:r w:rsidDel="00000000" w:rsidR="00000000" w:rsidRPr="00000000">
        <w:rPr>
          <w:rtl w:val="0"/>
        </w:rPr>
      </w:r>
    </w:p>
    <w:p w:rsidR="00000000" w:rsidDel="00000000" w:rsidP="00000000" w:rsidRDefault="00000000" w:rsidRPr="00000000" w14:paraId="0000005F">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Hợp đồng này có hiệu lực từ </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 đến khi hai bên ký kết các Biên bản nghiệm thu và Thanh lý hợp đồng.</w:t>
      </w:r>
    </w:p>
    <w:p w:rsidR="00000000" w:rsidDel="00000000" w:rsidP="00000000" w:rsidRDefault="00000000" w:rsidRPr="00000000" w14:paraId="00000060">
      <w:pPr>
        <w:spacing w:after="40" w:before="40" w:line="276" w:lineRule="auto"/>
        <w:ind w:left="3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Hợp đồng này được lập thành, 02 bản có giá trị như nhau, mỗi bên giữ 01 (một) bản.</w:t>
      </w:r>
    </w:p>
    <w:tbl>
      <w:tblPr>
        <w:tblStyle w:val="Table1"/>
        <w:tblW w:w="9087.0" w:type="dxa"/>
        <w:jc w:val="center"/>
        <w:tblLayout w:type="fixed"/>
        <w:tblLook w:val="0000"/>
      </w:tblPr>
      <w:tblGrid>
        <w:gridCol w:w="4654"/>
        <w:gridCol w:w="4433"/>
        <w:tblGridChange w:id="0">
          <w:tblGrid>
            <w:gridCol w:w="4654"/>
            <w:gridCol w:w="4433"/>
          </w:tblGrid>
        </w:tblGridChange>
      </w:tblGrid>
      <w:tr>
        <w:trPr>
          <w:cantSplit w:val="0"/>
          <w:trHeight w:val="280" w:hRule="atLeast"/>
          <w:tblHeader w:val="0"/>
        </w:trPr>
        <w:tc>
          <w:tcPr>
            <w:vAlign w:val="top"/>
          </w:tcPr>
          <w:p w:rsidR="00000000" w:rsidDel="00000000" w:rsidP="00000000" w:rsidRDefault="00000000" w:rsidRPr="00000000" w14:paraId="00000061">
            <w:pPr>
              <w:spacing w:after="40" w:before="40" w:line="276" w:lineRule="auto"/>
              <w:ind w:left="720"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ĐẠI DIỆN BÊN A</w:t>
            </w:r>
            <w:r w:rsidDel="00000000" w:rsidR="00000000" w:rsidRPr="00000000">
              <w:rPr>
                <w:rtl w:val="0"/>
              </w:rPr>
            </w:r>
          </w:p>
        </w:tc>
        <w:tc>
          <w:tcPr>
            <w:vAlign w:val="top"/>
          </w:tcPr>
          <w:p w:rsidR="00000000" w:rsidDel="00000000" w:rsidP="00000000" w:rsidRDefault="00000000" w:rsidRPr="00000000" w14:paraId="00000062">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ĐẠI DIỆN BÊN B</w:t>
            </w:r>
            <w:r w:rsidDel="00000000" w:rsidR="00000000" w:rsidRPr="00000000">
              <w:rPr>
                <w:rtl w:val="0"/>
              </w:rPr>
            </w:r>
          </w:p>
        </w:tc>
      </w:tr>
    </w:tbl>
    <w:p w:rsidR="00000000" w:rsidDel="00000000" w:rsidP="00000000" w:rsidRDefault="00000000" w:rsidRPr="00000000" w14:paraId="0000006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sectPr>
      <w:pgSz w:h="16840" w:w="1190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lvl w:ilvl="0">
      <w:start w:val="1"/>
      <w:numFmt w:val="decimal"/>
      <w:lvlText w:val="%1."/>
      <w:lvlJc w:val="left"/>
      <w:pPr>
        <w:ind w:left="720" w:hanging="360"/>
      </w:pPr>
      <w:rPr>
        <w:rFonts w:ascii="Arial" w:cs="Arial" w:eastAsia="Arial" w:hAnsi="Arial"/>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1"/>
      <w:spacing w:after="60" w:before="240" w:lineRule="auto"/>
    </w:pPr>
    <w:rPr>
      <w:rFonts w:ascii="Calibri" w:cs="Calibri" w:eastAsia="Calibri" w:hAnsi="Calibri"/>
      <w:b w:val="1"/>
      <w:color w:val="000000"/>
      <w:sz w:val="26"/>
      <w:szCs w:val="26"/>
      <w:vertAlign w:val="baseline"/>
    </w:rPr>
  </w:style>
  <w:style w:type="paragraph" w:styleId="Heading4">
    <w:name w:val="heading 4"/>
    <w:basedOn w:val="Normal"/>
    <w:next w:val="Normal"/>
    <w:pPr>
      <w:keepNext w:val="1"/>
      <w:keepLines w:val="1"/>
      <w:widowControl w:val="0"/>
      <w:spacing w:after="60" w:befor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vi-VN" w:val="vi-VN"/>
    </w:rPr>
  </w:style>
  <w:style w:type="paragraph" w:styleId="Heading3">
    <w:name w:val="Heading 3"/>
    <w:basedOn w:val="Normal"/>
    <w:next w:val="Normal"/>
    <w:autoRedefine w:val="0"/>
    <w:hidden w:val="0"/>
    <w:qFormat w:val="1"/>
    <w:pPr>
      <w:keepNext w:val="1"/>
      <w:widowControl w:val="1"/>
      <w:suppressAutoHyphens w:val="1"/>
      <w:spacing w:after="60" w:before="240" w:line="1" w:lineRule="atLeast"/>
      <w:ind w:leftChars="-1" w:rightChars="0" w:firstLineChars="-1"/>
      <w:textDirection w:val="btLr"/>
      <w:textAlignment w:val="top"/>
      <w:outlineLvl w:val="2"/>
    </w:pPr>
    <w:rPr>
      <w:rFonts w:ascii="Calibri Light" w:cs="Times New Roman" w:hAnsi="Calibri Light"/>
      <w:b w:val="1"/>
      <w:bCs w:val="1"/>
      <w:color w:val="auto"/>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keepLines w:val="1"/>
      <w:widowControl w:val="0"/>
      <w:suppressAutoHyphens w:val="1"/>
      <w:spacing w:after="60" w:before="240" w:line="1" w:lineRule="atLeast"/>
      <w:ind w:leftChars="-1" w:rightChars="0" w:firstLineChars="-1"/>
      <w:textDirection w:val="btLr"/>
      <w:textAlignment w:val="top"/>
      <w:outlineLvl w:val="3"/>
    </w:pPr>
    <w:rPr>
      <w:rFonts w:ascii="Times New Roman" w:cs="Times New Roman" w:eastAsia="SimSun" w:hAnsi="Times New Roman"/>
      <w:b w:val="1"/>
      <w:color w:val="auto"/>
      <w:w w:val="100"/>
      <w:kern w:val="2"/>
      <w:position w:val="-1"/>
      <w:sz w:val="28"/>
      <w:szCs w:val="20"/>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icturecaption_">
    <w:name w:val="Picture caption_"/>
    <w:next w:val="Picturecaption_"/>
    <w:autoRedefine w:val="0"/>
    <w:hidden w:val="0"/>
    <w:qFormat w:val="0"/>
    <w:rPr>
      <w:rFonts w:ascii="Times New Roman" w:cs="Times New Roman" w:hAnsi="Times New Roman"/>
      <w:b w:val="1"/>
      <w:bCs w:val="1"/>
      <w:w w:val="100"/>
      <w:position w:val="-1"/>
      <w:sz w:val="26"/>
      <w:szCs w:val="26"/>
      <w:u w:val="none"/>
      <w:effect w:val="none"/>
      <w:vertAlign w:val="baseline"/>
      <w:cs w:val="0"/>
      <w:em w:val="none"/>
      <w:lang/>
    </w:rPr>
  </w:style>
  <w:style w:type="character" w:styleId="BodyTextChar1">
    <w:name w:val="Body Text Char1"/>
    <w:next w:val="BodyTextChar1"/>
    <w:autoRedefine w:val="0"/>
    <w:hidden w:val="0"/>
    <w:qFormat w:val="0"/>
    <w:rPr>
      <w:rFonts w:ascii="Times New Roman" w:cs="Times New Roman" w:hAnsi="Times New Roman"/>
      <w:w w:val="100"/>
      <w:position w:val="-1"/>
      <w:sz w:val="26"/>
      <w:szCs w:val="26"/>
      <w:u w:val="none"/>
      <w:effect w:val="none"/>
      <w:vertAlign w:val="baseline"/>
      <w:cs w:val="0"/>
      <w:em w:val="none"/>
      <w:lang/>
    </w:rPr>
  </w:style>
  <w:style w:type="character" w:styleId="Heading#2_">
    <w:name w:val="Heading #2_"/>
    <w:next w:val="Heading#2_"/>
    <w:autoRedefine w:val="0"/>
    <w:hidden w:val="0"/>
    <w:qFormat w:val="0"/>
    <w:rPr>
      <w:rFonts w:ascii="Times New Roman" w:cs="Times New Roman" w:hAnsi="Times New Roman"/>
      <w:w w:val="100"/>
      <w:position w:val="-1"/>
      <w:sz w:val="26"/>
      <w:szCs w:val="26"/>
      <w:u w:val="none"/>
      <w:effect w:val="none"/>
      <w:vertAlign w:val="baseline"/>
      <w:cs w:val="0"/>
      <w:em w:val="none"/>
      <w:lang/>
    </w:rPr>
  </w:style>
  <w:style w:type="character" w:styleId="Bodytext(2)_">
    <w:name w:val="Body text (2)_"/>
    <w:next w:val="Bodytext(2)_"/>
    <w:autoRedefine w:val="0"/>
    <w:hidden w:val="0"/>
    <w:qFormat w:val="0"/>
    <w:rPr>
      <w:rFonts w:ascii="Times New Roman" w:cs="Times New Roman" w:hAnsi="Times New Roman"/>
      <w:w w:val="100"/>
      <w:position w:val="-1"/>
      <w:sz w:val="22"/>
      <w:szCs w:val="22"/>
      <w:u w:val="none"/>
      <w:effect w:val="none"/>
      <w:vertAlign w:val="baseline"/>
      <w:cs w:val="0"/>
      <w:em w:val="none"/>
      <w:lang/>
    </w:rPr>
  </w:style>
  <w:style w:type="character" w:styleId="Bodytext(3)_">
    <w:name w:val="Body text (3)_"/>
    <w:next w:val="Bodytext(3)_"/>
    <w:autoRedefine w:val="0"/>
    <w:hidden w:val="0"/>
    <w:qFormat w:val="0"/>
    <w:rPr>
      <w:rFonts w:ascii="Times New Roman" w:cs="Times New Roman" w:hAnsi="Times New Roman"/>
      <w:b w:val="1"/>
      <w:bCs w:val="1"/>
      <w:w w:val="100"/>
      <w:position w:val="-1"/>
      <w:sz w:val="16"/>
      <w:szCs w:val="16"/>
      <w:u w:val="none"/>
      <w:effect w:val="none"/>
      <w:vertAlign w:val="baseline"/>
      <w:cs w:val="0"/>
      <w:em w:val="none"/>
      <w:lang/>
    </w:rPr>
  </w:style>
  <w:style w:type="character" w:styleId="Heading#1_">
    <w:name w:val="Heading #1_"/>
    <w:next w:val="Heading#1_"/>
    <w:autoRedefine w:val="0"/>
    <w:hidden w:val="0"/>
    <w:qFormat w:val="0"/>
    <w:rPr>
      <w:rFonts w:ascii="Times New Roman" w:cs="Times New Roman" w:hAnsi="Times New Roman"/>
      <w:i w:val="1"/>
      <w:iCs w:val="1"/>
      <w:w w:val="100"/>
      <w:position w:val="-1"/>
      <w:sz w:val="26"/>
      <w:szCs w:val="26"/>
      <w:u w:val="none"/>
      <w:effect w:val="none"/>
      <w:vertAlign w:val="baseline"/>
      <w:cs w:val="0"/>
      <w:em w:val="none"/>
      <w:lang/>
    </w:rPr>
  </w:style>
  <w:style w:type="character" w:styleId="Other_">
    <w:name w:val="Other_"/>
    <w:next w:val="Other_"/>
    <w:autoRedefine w:val="0"/>
    <w:hidden w:val="0"/>
    <w:qFormat w:val="0"/>
    <w:rPr>
      <w:rFonts w:ascii="Times New Roman" w:cs="Times New Roman" w:hAnsi="Times New Roman"/>
      <w:w w:val="100"/>
      <w:position w:val="-1"/>
      <w:sz w:val="16"/>
      <w:szCs w:val="16"/>
      <w:u w:val="none"/>
      <w:effect w:val="none"/>
      <w:vertAlign w:val="baseline"/>
      <w:cs w:val="0"/>
      <w:em w:val="none"/>
      <w:lang/>
    </w:rPr>
  </w:style>
  <w:style w:type="character" w:styleId="Heading#4_">
    <w:name w:val="Heading #4_"/>
    <w:next w:val="Heading#4_"/>
    <w:autoRedefine w:val="0"/>
    <w:hidden w:val="0"/>
    <w:qFormat w:val="0"/>
    <w:rPr>
      <w:rFonts w:ascii="Times New Roman" w:cs="Times New Roman" w:hAnsi="Times New Roman"/>
      <w:i w:val="1"/>
      <w:iCs w:val="1"/>
      <w:w w:val="100"/>
      <w:position w:val="-1"/>
      <w:sz w:val="19"/>
      <w:szCs w:val="19"/>
      <w:u w:val="none"/>
      <w:effect w:val="none"/>
      <w:vertAlign w:val="baseline"/>
      <w:cs w:val="0"/>
      <w:em w:val="none"/>
      <w:lang/>
    </w:rPr>
  </w:style>
  <w:style w:type="character" w:styleId="Bodytext(6)_">
    <w:name w:val="Body text (6)_"/>
    <w:next w:val="Bodytext(6)_"/>
    <w:autoRedefine w:val="0"/>
    <w:hidden w:val="0"/>
    <w:qFormat w:val="0"/>
    <w:rPr>
      <w:rFonts w:ascii="Times New Roman" w:cs="Times New Roman" w:hAnsi="Times New Roman"/>
      <w:b w:val="1"/>
      <w:bCs w:val="1"/>
      <w:w w:val="100"/>
      <w:position w:val="-1"/>
      <w:sz w:val="18"/>
      <w:szCs w:val="18"/>
      <w:u w:val="none"/>
      <w:effect w:val="none"/>
      <w:vertAlign w:val="baseline"/>
      <w:cs w:val="0"/>
      <w:em w:val="none"/>
      <w:lang/>
    </w:rPr>
  </w:style>
  <w:style w:type="character" w:styleId="Bodytext(7)_">
    <w:name w:val="Body text (7)_"/>
    <w:next w:val="Bodytext(7)_"/>
    <w:autoRedefine w:val="0"/>
    <w:hidden w:val="0"/>
    <w:qFormat w:val="0"/>
    <w:rPr>
      <w:rFonts w:ascii="Arial" w:cs="Arial" w:hAnsi="Arial"/>
      <w:color w:val="a85255"/>
      <w:w w:val="100"/>
      <w:position w:val="-1"/>
      <w:sz w:val="12"/>
      <w:szCs w:val="12"/>
      <w:u w:val="none"/>
      <w:effect w:val="none"/>
      <w:vertAlign w:val="baseline"/>
      <w:cs w:val="0"/>
      <w:em w:val="none"/>
      <w:lang w:eastAsia="en-US" w:val="en-US"/>
    </w:rPr>
  </w:style>
  <w:style w:type="character" w:styleId="Heading#3_">
    <w:name w:val="Heading #3_"/>
    <w:next w:val="Heading#3_"/>
    <w:autoRedefine w:val="0"/>
    <w:hidden w:val="0"/>
    <w:qFormat w:val="0"/>
    <w:rPr>
      <w:rFonts w:ascii="Times New Roman" w:cs="Times New Roman" w:hAnsi="Times New Roman"/>
      <w:i w:val="1"/>
      <w:iCs w:val="1"/>
      <w:w w:val="100"/>
      <w:position w:val="-1"/>
      <w:sz w:val="22"/>
      <w:szCs w:val="22"/>
      <w:u w:val="none"/>
      <w:effect w:val="none"/>
      <w:vertAlign w:val="baseline"/>
      <w:cs w:val="0"/>
      <w:em w:val="none"/>
      <w:lang/>
    </w:rPr>
  </w:style>
  <w:style w:type="paragraph" w:styleId="Picturecaption">
    <w:name w:val="Picture caption"/>
    <w:basedOn w:val="Normal"/>
    <w:next w:val="Picturecaption"/>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Times New Roman" w:cs="Times New Roman" w:hAnsi="Times New Roman"/>
      <w:b w:val="1"/>
      <w:bCs w:val="1"/>
      <w:color w:val="auto"/>
      <w:w w:val="100"/>
      <w:position w:val="-1"/>
      <w:sz w:val="26"/>
      <w:szCs w:val="26"/>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hd w:color="auto" w:fill="ffffff" w:val="clear"/>
      <w:suppressAutoHyphens w:val="1"/>
      <w:spacing w:after="100" w:line="259" w:lineRule="auto"/>
      <w:ind w:leftChars="-1" w:rightChars="0" w:firstLine="400" w:firstLineChars="-1"/>
      <w:textDirection w:val="btLr"/>
      <w:textAlignment w:val="top"/>
      <w:outlineLvl w:val="0"/>
    </w:pPr>
    <w:rPr>
      <w:rFonts w:ascii="Times New Roman" w:cs="Times New Roman" w:hAnsi="Times New Roman"/>
      <w:color w:val="auto"/>
      <w:w w:val="100"/>
      <w:position w:val="-1"/>
      <w:sz w:val="26"/>
      <w:szCs w:val="26"/>
      <w:effect w:val="none"/>
      <w:vertAlign w:val="baseline"/>
      <w:cs w:val="0"/>
      <w:em w:val="none"/>
      <w:lang w:bidi="ar-SA" w:eastAsia="und" w:val="und"/>
    </w:rPr>
  </w:style>
  <w:style w:type="character" w:styleId="BodyTextChar">
    <w:name w:val="Body Text Char"/>
    <w:next w:val="BodyTextChar"/>
    <w:autoRedefine w:val="0"/>
    <w:hidden w:val="0"/>
    <w:qFormat w:val="0"/>
    <w:rPr>
      <w:color w:val="000000"/>
      <w:w w:val="100"/>
      <w:position w:val="-1"/>
      <w:effect w:val="none"/>
      <w:vertAlign w:val="baseline"/>
      <w:cs w:val="0"/>
      <w:em w:val="none"/>
      <w:lang w:eastAsia="vi-VN" w:val="vi-VN"/>
    </w:rPr>
  </w:style>
  <w:style w:type="paragraph" w:styleId="Heading#2">
    <w:name w:val="Heading #2"/>
    <w:basedOn w:val="Normal"/>
    <w:next w:val="Heading#2"/>
    <w:autoRedefine w:val="0"/>
    <w:hidden w:val="0"/>
    <w:qFormat w:val="0"/>
    <w:pPr>
      <w:widowControl w:val="0"/>
      <w:shd w:color="auto" w:fill="ffffff" w:val="clear"/>
      <w:suppressAutoHyphens w:val="1"/>
      <w:spacing w:after="460" w:line="276" w:lineRule="auto"/>
      <w:ind w:leftChars="-1" w:rightChars="0" w:firstLineChars="-1"/>
      <w:textDirection w:val="btLr"/>
      <w:textAlignment w:val="top"/>
      <w:outlineLvl w:val="1"/>
    </w:pPr>
    <w:rPr>
      <w:rFonts w:ascii="Times New Roman" w:cs="Times New Roman" w:hAnsi="Times New Roman"/>
      <w:color w:val="auto"/>
      <w:w w:val="100"/>
      <w:position w:val="-1"/>
      <w:sz w:val="26"/>
      <w:szCs w:val="26"/>
      <w:effect w:val="none"/>
      <w:vertAlign w:val="baseline"/>
      <w:cs w:val="0"/>
      <w:em w:val="none"/>
      <w:lang w:bidi="ar-SA" w:eastAsia="und" w:val="und"/>
    </w:rPr>
  </w:style>
  <w:style w:type="paragraph" w:styleId="Bodytext(2)">
    <w:name w:val="Body text (2)"/>
    <w:basedOn w:val="Normal"/>
    <w:next w:val="Bodytext(2)"/>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Times New Roman" w:cs="Times New Roman" w:hAnsi="Times New Roman"/>
      <w:color w:val="auto"/>
      <w:w w:val="100"/>
      <w:position w:val="-1"/>
      <w:sz w:val="22"/>
      <w:szCs w:val="22"/>
      <w:effect w:val="none"/>
      <w:vertAlign w:val="baseline"/>
      <w:cs w:val="0"/>
      <w:em w:val="none"/>
      <w:lang w:bidi="ar-SA" w:eastAsia="und" w:val="und"/>
    </w:rPr>
  </w:style>
  <w:style w:type="paragraph" w:styleId="Bodytext(3)">
    <w:name w:val="Body text (3)"/>
    <w:basedOn w:val="Normal"/>
    <w:next w:val="Bodytext(3)"/>
    <w:autoRedefine w:val="0"/>
    <w:hidden w:val="0"/>
    <w:qFormat w:val="0"/>
    <w:pPr>
      <w:widowControl w:val="0"/>
      <w:shd w:color="auto" w:fill="ffffff" w:val="clear"/>
      <w:suppressAutoHyphens w:val="1"/>
      <w:spacing w:after="60" w:line="264" w:lineRule="auto"/>
      <w:ind w:left="520" w:leftChars="-1" w:rightChars="0" w:firstLine="160" w:firstLineChars="-1"/>
      <w:textDirection w:val="btLr"/>
      <w:textAlignment w:val="top"/>
      <w:outlineLvl w:val="0"/>
    </w:pPr>
    <w:rPr>
      <w:rFonts w:ascii="Times New Roman" w:cs="Times New Roman" w:hAnsi="Times New Roman"/>
      <w:b w:val="1"/>
      <w:bCs w:val="1"/>
      <w:color w:val="auto"/>
      <w:w w:val="100"/>
      <w:position w:val="-1"/>
      <w:sz w:val="16"/>
      <w:szCs w:val="16"/>
      <w:effect w:val="none"/>
      <w:vertAlign w:val="baseline"/>
      <w:cs w:val="0"/>
      <w:em w:val="none"/>
      <w:lang w:bidi="ar-SA" w:eastAsia="und" w:val="und"/>
    </w:rPr>
  </w:style>
  <w:style w:type="paragraph" w:styleId="Heading#1">
    <w:name w:val="Heading #1"/>
    <w:basedOn w:val="Normal"/>
    <w:next w:val="Heading#1"/>
    <w:autoRedefine w:val="0"/>
    <w:hidden w:val="0"/>
    <w:qFormat w:val="0"/>
    <w:pPr>
      <w:widowControl w:val="0"/>
      <w:shd w:color="auto" w:fill="ffffff" w:val="clear"/>
      <w:suppressAutoHyphens w:val="1"/>
      <w:spacing w:after="140" w:line="1" w:lineRule="atLeast"/>
      <w:ind w:leftChars="-1" w:rightChars="0" w:firstLineChars="-1"/>
      <w:textDirection w:val="btLr"/>
      <w:textAlignment w:val="top"/>
      <w:outlineLvl w:val="0"/>
    </w:pPr>
    <w:rPr>
      <w:rFonts w:ascii="Times New Roman" w:cs="Times New Roman" w:hAnsi="Times New Roman"/>
      <w:i w:val="1"/>
      <w:iCs w:val="1"/>
      <w:color w:val="auto"/>
      <w:w w:val="100"/>
      <w:position w:val="-1"/>
      <w:sz w:val="26"/>
      <w:szCs w:val="26"/>
      <w:effect w:val="none"/>
      <w:vertAlign w:val="baseline"/>
      <w:cs w:val="0"/>
      <w:em w:val="none"/>
      <w:lang w:bidi="ar-SA" w:eastAsia="und" w:val="und"/>
    </w:rPr>
  </w:style>
  <w:style w:type="paragraph" w:styleId="Other">
    <w:name w:val="Other"/>
    <w:basedOn w:val="Normal"/>
    <w:next w:val="Other"/>
    <w:autoRedefine w:val="0"/>
    <w:hidden w:val="0"/>
    <w:qFormat w:val="0"/>
    <w:pPr>
      <w:widowControl w:val="0"/>
      <w:shd w:color="auto" w:fill="ffffff" w:val="clear"/>
      <w:suppressAutoHyphens w:val="1"/>
      <w:spacing w:line="264" w:lineRule="auto"/>
      <w:ind w:leftChars="-1" w:rightChars="0" w:firstLineChars="-1"/>
      <w:jc w:val="center"/>
      <w:textDirection w:val="btLr"/>
      <w:textAlignment w:val="top"/>
      <w:outlineLvl w:val="0"/>
    </w:pPr>
    <w:rPr>
      <w:rFonts w:ascii="Times New Roman" w:cs="Times New Roman" w:hAnsi="Times New Roman"/>
      <w:color w:val="auto"/>
      <w:w w:val="100"/>
      <w:position w:val="-1"/>
      <w:sz w:val="16"/>
      <w:szCs w:val="16"/>
      <w:effect w:val="none"/>
      <w:vertAlign w:val="baseline"/>
      <w:cs w:val="0"/>
      <w:em w:val="none"/>
      <w:lang w:bidi="ar-SA" w:eastAsia="und" w:val="und"/>
    </w:rPr>
  </w:style>
  <w:style w:type="paragraph" w:styleId="Heading#4">
    <w:name w:val="Heading #4"/>
    <w:basedOn w:val="Normal"/>
    <w:next w:val="Heading#4"/>
    <w:autoRedefine w:val="0"/>
    <w:hidden w:val="0"/>
    <w:qFormat w:val="0"/>
    <w:pPr>
      <w:widowControl w:val="0"/>
      <w:shd w:color="auto" w:fill="ffffff" w:val="clear"/>
      <w:suppressAutoHyphens w:val="1"/>
      <w:spacing w:after="40" w:line="1" w:lineRule="atLeast"/>
      <w:ind w:leftChars="-1" w:rightChars="0" w:firstLineChars="-1"/>
      <w:textDirection w:val="btLr"/>
      <w:textAlignment w:val="top"/>
      <w:outlineLvl w:val="3"/>
    </w:pPr>
    <w:rPr>
      <w:rFonts w:ascii="Times New Roman" w:cs="Times New Roman" w:hAnsi="Times New Roman"/>
      <w:i w:val="1"/>
      <w:iCs w:val="1"/>
      <w:color w:val="auto"/>
      <w:w w:val="100"/>
      <w:position w:val="-1"/>
      <w:sz w:val="19"/>
      <w:szCs w:val="19"/>
      <w:effect w:val="none"/>
      <w:vertAlign w:val="baseline"/>
      <w:cs w:val="0"/>
      <w:em w:val="none"/>
      <w:lang w:bidi="ar-SA" w:eastAsia="und" w:val="und"/>
    </w:rPr>
  </w:style>
  <w:style w:type="paragraph" w:styleId="Bodytext(6)">
    <w:name w:val="Body text (6)"/>
    <w:basedOn w:val="Normal"/>
    <w:next w:val="Bodytext(6)"/>
    <w:autoRedefine w:val="0"/>
    <w:hidden w:val="0"/>
    <w:qFormat w:val="0"/>
    <w:pPr>
      <w:widowControl w:val="0"/>
      <w:shd w:color="auto" w:fill="ffffff" w:val="clear"/>
      <w:suppressAutoHyphens w:val="1"/>
      <w:spacing w:after="80" w:line="276" w:lineRule="auto"/>
      <w:ind w:leftChars="-1" w:rightChars="0" w:firstLineChars="-1"/>
      <w:textDirection w:val="btLr"/>
      <w:textAlignment w:val="top"/>
      <w:outlineLvl w:val="0"/>
    </w:pPr>
    <w:rPr>
      <w:rFonts w:ascii="Times New Roman" w:cs="Times New Roman" w:hAnsi="Times New Roman"/>
      <w:b w:val="1"/>
      <w:bCs w:val="1"/>
      <w:color w:val="auto"/>
      <w:w w:val="100"/>
      <w:position w:val="-1"/>
      <w:sz w:val="18"/>
      <w:szCs w:val="18"/>
      <w:effect w:val="none"/>
      <w:vertAlign w:val="baseline"/>
      <w:cs w:val="0"/>
      <w:em w:val="none"/>
      <w:lang w:bidi="ar-SA" w:eastAsia="und" w:val="und"/>
    </w:rPr>
  </w:style>
  <w:style w:type="paragraph" w:styleId="Bodytext(7)">
    <w:name w:val="Body text (7)"/>
    <w:basedOn w:val="Normal"/>
    <w:next w:val="Bodytext(7)"/>
    <w:autoRedefine w:val="0"/>
    <w:hidden w:val="0"/>
    <w:qFormat w:val="0"/>
    <w:pPr>
      <w:widowControl w:val="0"/>
      <w:shd w:color="auto" w:fill="ffffff" w:val="clear"/>
      <w:suppressAutoHyphens w:val="1"/>
      <w:spacing w:line="1" w:lineRule="atLeast"/>
      <w:ind w:right="300" w:leftChars="-1" w:rightChars="0" w:firstLineChars="-1"/>
      <w:jc w:val="right"/>
      <w:textDirection w:val="btLr"/>
      <w:textAlignment w:val="top"/>
      <w:outlineLvl w:val="0"/>
    </w:pPr>
    <w:rPr>
      <w:rFonts w:ascii="Arial" w:cs="Times New Roman" w:hAnsi="Arial"/>
      <w:color w:val="a85255"/>
      <w:w w:val="100"/>
      <w:position w:val="-1"/>
      <w:sz w:val="12"/>
      <w:szCs w:val="12"/>
      <w:effect w:val="none"/>
      <w:vertAlign w:val="baseline"/>
      <w:cs w:val="0"/>
      <w:em w:val="none"/>
      <w:lang w:bidi="ar-SA" w:eastAsia="en-US" w:val="en-US"/>
    </w:rPr>
  </w:style>
  <w:style w:type="paragraph" w:styleId="Heading#3">
    <w:name w:val="Heading #3"/>
    <w:basedOn w:val="Normal"/>
    <w:next w:val="Heading#3"/>
    <w:autoRedefine w:val="0"/>
    <w:hidden w:val="0"/>
    <w:qFormat w:val="0"/>
    <w:pPr>
      <w:widowControl w:val="0"/>
      <w:shd w:color="auto" w:fill="ffffff" w:val="clear"/>
      <w:suppressAutoHyphens w:val="1"/>
      <w:spacing w:after="360" w:line="1" w:lineRule="atLeast"/>
      <w:ind w:leftChars="-1" w:rightChars="0" w:firstLineChars="-1"/>
      <w:textDirection w:val="btLr"/>
      <w:textAlignment w:val="top"/>
      <w:outlineLvl w:val="2"/>
    </w:pPr>
    <w:rPr>
      <w:rFonts w:ascii="Times New Roman" w:cs="Times New Roman" w:hAnsi="Times New Roman"/>
      <w:i w:val="1"/>
      <w:iCs w:val="1"/>
      <w:color w:val="auto"/>
      <w:w w:val="100"/>
      <w:position w:val="-1"/>
      <w:sz w:val="22"/>
      <w:szCs w:val="22"/>
      <w:effect w:val="none"/>
      <w:vertAlign w:val="baseline"/>
      <w:cs w:val="0"/>
      <w:em w:val="none"/>
      <w:lang w:bidi="ar-SA"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vi-VN" w:val="vi-VN"/>
    </w:rPr>
  </w:style>
  <w:style w:type="character" w:styleId="HeaderChar">
    <w:name w:val="Header Char"/>
    <w:next w:val="HeaderChar"/>
    <w:autoRedefine w:val="0"/>
    <w:hidden w:val="0"/>
    <w:qFormat w:val="0"/>
    <w:rPr>
      <w:color w:val="000000"/>
      <w:w w:val="100"/>
      <w:position w:val="-1"/>
      <w:effect w:val="none"/>
      <w:vertAlign w:val="baseline"/>
      <w:cs w:val="0"/>
      <w:em w:val="none"/>
      <w:lang w:eastAsia="vi-VN" w:val="vi-VN"/>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vi-VN" w:val="vi-VN"/>
    </w:rPr>
  </w:style>
  <w:style w:type="character" w:styleId="FooterChar">
    <w:name w:val="Footer Char"/>
    <w:next w:val="FooterChar"/>
    <w:autoRedefine w:val="0"/>
    <w:hidden w:val="0"/>
    <w:qFormat w:val="0"/>
    <w:rPr>
      <w:color w:val="000000"/>
      <w:w w:val="100"/>
      <w:position w:val="-1"/>
      <w:effect w:val="none"/>
      <w:vertAlign w:val="baseline"/>
      <w:cs w:val="0"/>
      <w:em w:val="none"/>
      <w:lang w:eastAsia="vi-VN" w:val="vi-VN"/>
    </w:rPr>
  </w:style>
  <w:style w:type="character" w:styleId="Heading3Char">
    <w:name w:val="Heading 3 Char"/>
    <w:basedOn w:val="DefaultParagraphFont"/>
    <w:next w:val="Heading3Char"/>
    <w:autoRedefine w:val="0"/>
    <w:hidden w:val="0"/>
    <w:qFormat w:val="0"/>
    <w:rPr>
      <w:rFonts w:ascii="Calibri Light" w:hAnsi="Calibri Light"/>
      <w:b w:val="1"/>
      <w:bCs w:val="1"/>
      <w:w w:val="100"/>
      <w:position w:val="-1"/>
      <w:sz w:val="26"/>
      <w:szCs w:val="26"/>
      <w:effect w:val="none"/>
      <w:vertAlign w:val="baseline"/>
      <w:cs w:val="0"/>
      <w:em w:val="none"/>
      <w:lang w:eastAsia="und" w:val="und"/>
    </w:rPr>
  </w:style>
  <w:style w:type="character" w:styleId="Heading4Char">
    <w:name w:val="Heading 4 Char"/>
    <w:basedOn w:val="DefaultParagraphFont"/>
    <w:next w:val="Heading4Char"/>
    <w:autoRedefine w:val="0"/>
    <w:hidden w:val="0"/>
    <w:qFormat w:val="0"/>
    <w:rPr>
      <w:rFonts w:ascii="Times New Roman" w:eastAsia="SimSun" w:hAnsi="Times New Roman"/>
      <w:b w:val="1"/>
      <w:w w:val="100"/>
      <w:kern w:val="2"/>
      <w:position w:val="-1"/>
      <w:sz w:val="28"/>
      <w:effect w:val="none"/>
      <w:vertAlign w:val="baseline"/>
      <w:cs w:val="0"/>
      <w:em w:val="none"/>
      <w:lang w:eastAsia="zh-CN"/>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color w:val="auto"/>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N5S8+ilHgHjstV7ak9gBnSOEg==">CgMxLjA4AHIhMW1xRE9jcURsdG5ZTERLVUl4ZmQxM0VaUG9aSXVrZFZF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2020-04-14T06:58:00Z</dcterms:created>
  <dc:creator>Trịnh Kim Tuấn</dc:creator>
</cp:coreProperties>
</file>